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F77" w:rsidRDefault="00392F77" w:rsidP="00CA1062">
      <w:pPr>
        <w:jc w:val="center"/>
        <w:rPr>
          <w:rFonts w:ascii="Udlap Text Light" w:hAnsi="Udlap Text Light" w:cs="Times New Roman"/>
          <w:b/>
          <w:sz w:val="24"/>
          <w:szCs w:val="24"/>
        </w:rPr>
      </w:pPr>
    </w:p>
    <w:p w:rsidR="00CA1062" w:rsidRPr="00166127" w:rsidRDefault="00CA1062" w:rsidP="00CA1062">
      <w:pPr>
        <w:jc w:val="center"/>
        <w:rPr>
          <w:rFonts w:ascii="Udlap Text Light" w:hAnsi="Udlap Text Light" w:cs="Times New Roman"/>
          <w:b/>
          <w:sz w:val="24"/>
          <w:szCs w:val="24"/>
        </w:rPr>
      </w:pPr>
      <w:r w:rsidRPr="00166127">
        <w:rPr>
          <w:rFonts w:ascii="Udlap Text Light" w:hAnsi="Udlap Text Light" w:cs="Times New Roman"/>
          <w:b/>
          <w:sz w:val="24"/>
          <w:szCs w:val="24"/>
        </w:rPr>
        <w:t>Ejercicios modelo APA</w:t>
      </w:r>
    </w:p>
    <w:p w:rsidR="00C11124" w:rsidRPr="00166127" w:rsidRDefault="00C11124" w:rsidP="008A7864">
      <w:pPr>
        <w:rPr>
          <w:rFonts w:ascii="Udlap Text Light" w:hAnsi="Udlap Text Light" w:cs="Times New Roman"/>
          <w:sz w:val="24"/>
          <w:szCs w:val="24"/>
        </w:rPr>
      </w:pPr>
    </w:p>
    <w:p w:rsidR="008A7864" w:rsidRPr="00166127" w:rsidRDefault="008A7864" w:rsidP="008A7864">
      <w:pPr>
        <w:rPr>
          <w:rFonts w:ascii="Udlap Text Light" w:hAnsi="Udlap Text Light" w:cs="Times New Roman"/>
          <w:b/>
          <w:sz w:val="24"/>
          <w:szCs w:val="24"/>
        </w:rPr>
      </w:pPr>
      <w:r w:rsidRPr="00166127">
        <w:rPr>
          <w:rFonts w:ascii="Udlap Text Light" w:hAnsi="Udlap Text Light" w:cs="Times New Roman"/>
          <w:b/>
          <w:sz w:val="24"/>
          <w:szCs w:val="24"/>
        </w:rPr>
        <w:t>En el siguiente texto, corrige las citas que n</w:t>
      </w:r>
      <w:r w:rsidR="00C939BC" w:rsidRPr="00166127">
        <w:rPr>
          <w:rFonts w:ascii="Udlap Text Light" w:hAnsi="Udlap Text Light" w:cs="Times New Roman"/>
          <w:b/>
          <w:sz w:val="24"/>
          <w:szCs w:val="24"/>
        </w:rPr>
        <w:t>o concuerden con el estilo APA</w:t>
      </w:r>
    </w:p>
    <w:p w:rsidR="006F227D" w:rsidRPr="00166127" w:rsidRDefault="006F227D" w:rsidP="00C939BC">
      <w:pPr>
        <w:jc w:val="both"/>
        <w:rPr>
          <w:rFonts w:ascii="Udlap Text Light" w:hAnsi="Udlap Text Light" w:cs="Times New Roman"/>
          <w:sz w:val="24"/>
          <w:szCs w:val="24"/>
        </w:rPr>
      </w:pPr>
      <w:r w:rsidRPr="00166127">
        <w:rPr>
          <w:rFonts w:ascii="Udlap Text Light" w:hAnsi="Udlap Text Light" w:cs="Times New Roman"/>
          <w:sz w:val="24"/>
          <w:szCs w:val="24"/>
        </w:rPr>
        <w:t xml:space="preserve">Según </w:t>
      </w:r>
      <w:proofErr w:type="spellStart"/>
      <w:r w:rsidRPr="00166127">
        <w:rPr>
          <w:rFonts w:ascii="Udlap Text Light" w:hAnsi="Udlap Text Light" w:cs="Times New Roman"/>
          <w:sz w:val="24"/>
          <w:szCs w:val="24"/>
        </w:rPr>
        <w:t>Kurtz</w:t>
      </w:r>
      <w:proofErr w:type="spellEnd"/>
      <w:r w:rsidR="00CA1062" w:rsidRPr="00166127">
        <w:rPr>
          <w:rFonts w:ascii="Udlap Text Light" w:hAnsi="Udlap Text Light" w:cs="Times New Roman"/>
          <w:sz w:val="24"/>
          <w:szCs w:val="24"/>
        </w:rPr>
        <w:t>,</w:t>
      </w:r>
      <w:r w:rsidRPr="00166127">
        <w:rPr>
          <w:rFonts w:ascii="Udlap Text Light" w:hAnsi="Udlap Text Light" w:cs="Times New Roman"/>
          <w:sz w:val="24"/>
          <w:szCs w:val="24"/>
        </w:rPr>
        <w:t xml:space="preserve"> (1988) las experiencias cercanas a la muerte (ECM) tienen explicaciones fisiológicas razonables: “Sabemos que cuando el cuerpo está seriamente lesionado el corazón se detiene y ocurre anoxia cerebral… Al principio puede haber una sensación de bienestar, probablemente como resultado de la respuesta de las endorfinas cerebrales ante el traumatismo extremo” (p.15).</w:t>
      </w:r>
    </w:p>
    <w:p w:rsidR="00C11124" w:rsidRPr="00166127" w:rsidRDefault="00C11124" w:rsidP="008A7864">
      <w:pPr>
        <w:jc w:val="both"/>
        <w:rPr>
          <w:rFonts w:ascii="Udlap Text Light" w:hAnsi="Udlap Text Light" w:cs="Times New Roman"/>
          <w:sz w:val="24"/>
          <w:szCs w:val="24"/>
        </w:rPr>
      </w:pPr>
    </w:p>
    <w:p w:rsidR="006F227D" w:rsidRPr="00166127" w:rsidRDefault="00CA1062" w:rsidP="008A7864">
      <w:pPr>
        <w:jc w:val="both"/>
        <w:rPr>
          <w:rFonts w:ascii="Udlap Text Light" w:hAnsi="Udlap Text Light" w:cs="Times New Roman"/>
          <w:b/>
          <w:sz w:val="24"/>
          <w:szCs w:val="24"/>
        </w:rPr>
      </w:pPr>
      <w:r w:rsidRPr="00166127">
        <w:rPr>
          <w:rFonts w:ascii="Udlap Text Light" w:hAnsi="Udlap Text Light" w:cs="Times New Roman"/>
          <w:b/>
          <w:sz w:val="24"/>
          <w:szCs w:val="24"/>
        </w:rPr>
        <w:t>Ejercicio de revisión</w:t>
      </w:r>
      <w:r w:rsidR="00C939BC" w:rsidRPr="00166127">
        <w:rPr>
          <w:rFonts w:ascii="Udlap Text Light" w:hAnsi="Udlap Text Light" w:cs="Times New Roman"/>
          <w:b/>
          <w:sz w:val="24"/>
          <w:szCs w:val="24"/>
        </w:rPr>
        <w:t xml:space="preserve"> </w:t>
      </w:r>
      <w:r w:rsidRPr="00166127">
        <w:rPr>
          <w:rFonts w:ascii="Udlap Text Light" w:hAnsi="Udlap Text Light" w:cs="Times New Roman"/>
          <w:b/>
          <w:sz w:val="24"/>
          <w:szCs w:val="24"/>
        </w:rPr>
        <w:t>de referencia en el texto</w:t>
      </w:r>
    </w:p>
    <w:p w:rsidR="006F227D" w:rsidRPr="00166127" w:rsidRDefault="006F227D" w:rsidP="00C939BC">
      <w:pPr>
        <w:jc w:val="both"/>
        <w:rPr>
          <w:rFonts w:ascii="Udlap Text Light" w:hAnsi="Udlap Text Light" w:cs="Times New Roman"/>
          <w:sz w:val="24"/>
          <w:szCs w:val="24"/>
        </w:rPr>
      </w:pPr>
      <w:r w:rsidRPr="00166127">
        <w:rPr>
          <w:rFonts w:ascii="Udlap Text Light" w:hAnsi="Udlap Text Light" w:cs="Times New Roman"/>
          <w:sz w:val="24"/>
          <w:szCs w:val="24"/>
        </w:rPr>
        <w:t xml:space="preserve">Se estima que, en cualquier año, 250 de cada 100.000 niños en E.U.A sufren traumatismos craneoencefálicos (TCE; Anderson, </w:t>
      </w:r>
      <w:proofErr w:type="spellStart"/>
      <w:r w:rsidRPr="00166127">
        <w:rPr>
          <w:rFonts w:ascii="Udlap Text Light" w:hAnsi="Udlap Text Light" w:cs="Times New Roman"/>
          <w:sz w:val="24"/>
          <w:szCs w:val="24"/>
        </w:rPr>
        <w:t>Northam</w:t>
      </w:r>
      <w:proofErr w:type="spellEnd"/>
      <w:r w:rsidRPr="00166127">
        <w:rPr>
          <w:rFonts w:ascii="Udlap Text Light" w:hAnsi="Udlap Text Light" w:cs="Times New Roman"/>
          <w:sz w:val="24"/>
          <w:szCs w:val="24"/>
        </w:rPr>
        <w:t xml:space="preserve">, </w:t>
      </w:r>
      <w:proofErr w:type="spellStart"/>
      <w:r w:rsidRPr="00166127">
        <w:rPr>
          <w:rFonts w:ascii="Udlap Text Light" w:hAnsi="Udlap Text Light" w:cs="Times New Roman"/>
          <w:sz w:val="24"/>
          <w:szCs w:val="24"/>
        </w:rPr>
        <w:t>Hendy</w:t>
      </w:r>
      <w:proofErr w:type="spellEnd"/>
      <w:r w:rsidRPr="00166127">
        <w:rPr>
          <w:rFonts w:ascii="Udlap Text Light" w:hAnsi="Udlap Text Light" w:cs="Times New Roman"/>
          <w:sz w:val="24"/>
          <w:szCs w:val="24"/>
        </w:rPr>
        <w:t xml:space="preserve">, &amp; </w:t>
      </w:r>
      <w:proofErr w:type="spellStart"/>
      <w:r w:rsidRPr="00166127">
        <w:rPr>
          <w:rFonts w:ascii="Udlap Text Light" w:hAnsi="Udlap Text Light" w:cs="Times New Roman"/>
          <w:sz w:val="24"/>
          <w:szCs w:val="24"/>
        </w:rPr>
        <w:t>Wrennal</w:t>
      </w:r>
      <w:proofErr w:type="spellEnd"/>
      <w:r w:rsidRPr="00166127">
        <w:rPr>
          <w:rFonts w:ascii="Udlap Text Light" w:hAnsi="Udlap Text Light" w:cs="Times New Roman"/>
          <w:sz w:val="24"/>
          <w:szCs w:val="24"/>
        </w:rPr>
        <w:t>, 2001). Hasta 15% de los individuos con TCE leve siguen teniendo problemas significativos después de sufrir la lesión (</w:t>
      </w:r>
      <w:proofErr w:type="spellStart"/>
      <w:r w:rsidRPr="00166127">
        <w:rPr>
          <w:rFonts w:ascii="Udlap Text Light" w:hAnsi="Udlap Text Light" w:cs="Times New Roman"/>
          <w:sz w:val="24"/>
          <w:szCs w:val="24"/>
        </w:rPr>
        <w:t>Hubbard</w:t>
      </w:r>
      <w:proofErr w:type="spellEnd"/>
      <w:r w:rsidRPr="00166127">
        <w:rPr>
          <w:rFonts w:ascii="Udlap Text Light" w:hAnsi="Udlap Text Light" w:cs="Times New Roman"/>
          <w:sz w:val="24"/>
          <w:szCs w:val="24"/>
        </w:rPr>
        <w:t xml:space="preserve">, Gordon, Martin, </w:t>
      </w:r>
      <w:proofErr w:type="spellStart"/>
      <w:r w:rsidRPr="00166127">
        <w:rPr>
          <w:rFonts w:ascii="Udlap Text Light" w:hAnsi="Udlap Text Light" w:cs="Times New Roman"/>
          <w:sz w:val="24"/>
          <w:szCs w:val="24"/>
        </w:rPr>
        <w:t>Raskin</w:t>
      </w:r>
      <w:proofErr w:type="spellEnd"/>
      <w:r w:rsidRPr="00166127">
        <w:rPr>
          <w:rFonts w:ascii="Udlap Text Light" w:hAnsi="Udlap Text Light" w:cs="Times New Roman"/>
          <w:sz w:val="24"/>
          <w:szCs w:val="24"/>
        </w:rPr>
        <w:t>, &amp; Brown, 2001). Los efectos del TEC pueden ir desde mínimos hasta importantes y se pueden evidenciar de inmediato o surgir luego de una demora significativa (</w:t>
      </w:r>
      <w:proofErr w:type="spellStart"/>
      <w:r w:rsidRPr="00166127">
        <w:rPr>
          <w:rFonts w:ascii="Udlap Text Light" w:hAnsi="Udlap Text Light" w:cs="Times New Roman"/>
          <w:sz w:val="24"/>
          <w:szCs w:val="24"/>
        </w:rPr>
        <w:t>Eslinger</w:t>
      </w:r>
      <w:proofErr w:type="spellEnd"/>
      <w:r w:rsidRPr="00166127">
        <w:rPr>
          <w:rFonts w:ascii="Udlap Text Light" w:hAnsi="Udlap Text Light" w:cs="Times New Roman"/>
          <w:sz w:val="24"/>
          <w:szCs w:val="24"/>
        </w:rPr>
        <w:t xml:space="preserve"> &amp; </w:t>
      </w:r>
      <w:proofErr w:type="spellStart"/>
      <w:r w:rsidRPr="00166127">
        <w:rPr>
          <w:rFonts w:ascii="Udlap Text Light" w:hAnsi="Udlap Text Light" w:cs="Times New Roman"/>
          <w:sz w:val="24"/>
          <w:szCs w:val="24"/>
        </w:rPr>
        <w:t>Biddle</w:t>
      </w:r>
      <w:proofErr w:type="spellEnd"/>
      <w:r w:rsidRPr="00166127">
        <w:rPr>
          <w:rFonts w:ascii="Udlap Text Light" w:hAnsi="Udlap Text Light" w:cs="Times New Roman"/>
          <w:sz w:val="24"/>
          <w:szCs w:val="24"/>
        </w:rPr>
        <w:t xml:space="preserve">, 2000). </w:t>
      </w:r>
    </w:p>
    <w:p w:rsidR="006F227D" w:rsidRPr="00166127" w:rsidRDefault="006F227D" w:rsidP="008A7864">
      <w:pPr>
        <w:ind w:firstLine="708"/>
        <w:jc w:val="both"/>
        <w:rPr>
          <w:rFonts w:ascii="Udlap Text Light" w:hAnsi="Udlap Text Light" w:cs="Times New Roman"/>
          <w:sz w:val="24"/>
          <w:szCs w:val="24"/>
        </w:rPr>
      </w:pPr>
      <w:r w:rsidRPr="00166127">
        <w:rPr>
          <w:rFonts w:ascii="Udlap Text Light" w:hAnsi="Udlap Text Light" w:cs="Times New Roman"/>
          <w:sz w:val="24"/>
          <w:szCs w:val="24"/>
        </w:rPr>
        <w:t>Un conjunto considerable de literatura documenta una elevada probabilidad de cambios en la personalidad después e un TEC de moderado</w:t>
      </w:r>
      <w:r w:rsidR="006E3EAE" w:rsidRPr="00166127">
        <w:rPr>
          <w:rFonts w:ascii="Udlap Text Light" w:hAnsi="Udlap Text Light" w:cs="Times New Roman"/>
          <w:sz w:val="24"/>
          <w:szCs w:val="24"/>
        </w:rPr>
        <w:t xml:space="preserve"> a grave (Golden &amp; Golden, 2003; McGee, 2004). Es posible que se presenten trastornos de comportamientos y personalidad, incluyendo agitación, depresión,  déficits de atención, problemas con el funcionamiento ejecutivo y falta de autocontrol (McGee, 2004). </w:t>
      </w:r>
      <w:proofErr w:type="spellStart"/>
      <w:r w:rsidR="006E3EAE" w:rsidRPr="00166127">
        <w:rPr>
          <w:rFonts w:ascii="Udlap Text Light" w:hAnsi="Udlap Text Light" w:cs="Times New Roman"/>
          <w:sz w:val="24"/>
          <w:szCs w:val="24"/>
        </w:rPr>
        <w:t>Viguier</w:t>
      </w:r>
      <w:proofErr w:type="spellEnd"/>
      <w:r w:rsidR="006E3EAE" w:rsidRPr="00166127">
        <w:rPr>
          <w:rFonts w:ascii="Udlap Text Light" w:hAnsi="Udlap Text Light" w:cs="Times New Roman"/>
          <w:sz w:val="24"/>
          <w:szCs w:val="24"/>
        </w:rPr>
        <w:t xml:space="preserve">, </w:t>
      </w:r>
      <w:proofErr w:type="spellStart"/>
      <w:r w:rsidR="006E3EAE" w:rsidRPr="00166127">
        <w:rPr>
          <w:rFonts w:ascii="Udlap Text Light" w:hAnsi="Udlap Text Light" w:cs="Times New Roman"/>
          <w:sz w:val="24"/>
          <w:szCs w:val="24"/>
        </w:rPr>
        <w:t>Dellatolas</w:t>
      </w:r>
      <w:proofErr w:type="spellEnd"/>
      <w:r w:rsidR="006E3EAE" w:rsidRPr="00166127">
        <w:rPr>
          <w:rFonts w:ascii="Udlap Text Light" w:hAnsi="Udlap Text Light" w:cs="Times New Roman"/>
          <w:sz w:val="24"/>
          <w:szCs w:val="24"/>
        </w:rPr>
        <w:t xml:space="preserve">, </w:t>
      </w:r>
      <w:proofErr w:type="spellStart"/>
      <w:r w:rsidR="006E3EAE" w:rsidRPr="00166127">
        <w:rPr>
          <w:rFonts w:ascii="Udlap Text Light" w:hAnsi="Udlap Text Light" w:cs="Times New Roman"/>
          <w:sz w:val="24"/>
          <w:szCs w:val="24"/>
        </w:rPr>
        <w:t>Gasquet</w:t>
      </w:r>
      <w:proofErr w:type="spellEnd"/>
      <w:r w:rsidR="006E3EAE" w:rsidRPr="00166127">
        <w:rPr>
          <w:rFonts w:ascii="Udlap Text Light" w:hAnsi="Udlap Text Light" w:cs="Times New Roman"/>
          <w:sz w:val="24"/>
          <w:szCs w:val="24"/>
        </w:rPr>
        <w:t xml:space="preserve">, Martin y </w:t>
      </w:r>
      <w:proofErr w:type="spellStart"/>
      <w:r w:rsidR="006E3EAE" w:rsidRPr="00166127">
        <w:rPr>
          <w:rFonts w:ascii="Udlap Text Light" w:hAnsi="Udlap Text Light" w:cs="Times New Roman"/>
          <w:sz w:val="24"/>
          <w:szCs w:val="24"/>
        </w:rPr>
        <w:t>Choquet</w:t>
      </w:r>
      <w:proofErr w:type="spellEnd"/>
      <w:r w:rsidR="006E3EAE" w:rsidRPr="00166127">
        <w:rPr>
          <w:rFonts w:ascii="Udlap Text Light" w:hAnsi="Udlap Text Light" w:cs="Times New Roman"/>
          <w:sz w:val="24"/>
          <w:szCs w:val="24"/>
        </w:rPr>
        <w:t xml:space="preserve"> (2001) encontraron que el retraso y los problemas en la escuela, depresión, dificultades psicológicas, conducta agresiva e interacciones sociales perturbadas fueron significativamente más frecuentes en un grupo con TCE en comparación con un grupo control. </w:t>
      </w:r>
    </w:p>
    <w:p w:rsidR="007F156A" w:rsidRPr="00166127" w:rsidRDefault="006E3EAE" w:rsidP="008A7864">
      <w:pPr>
        <w:ind w:firstLine="708"/>
        <w:jc w:val="both"/>
        <w:rPr>
          <w:rFonts w:ascii="Udlap Text Light" w:hAnsi="Udlap Text Light" w:cs="Times New Roman"/>
          <w:sz w:val="24"/>
          <w:szCs w:val="24"/>
        </w:rPr>
      </w:pPr>
      <w:r w:rsidRPr="00166127">
        <w:rPr>
          <w:rFonts w:ascii="Udlap Text Light" w:hAnsi="Udlap Text Light" w:cs="Times New Roman"/>
          <w:sz w:val="24"/>
          <w:szCs w:val="24"/>
        </w:rPr>
        <w:t xml:space="preserve">Las intervenciones terapéuticas para el TCE incluyen psicoterapia orientada al </w:t>
      </w:r>
      <w:proofErr w:type="spellStart"/>
      <w:r w:rsidRPr="00166127">
        <w:rPr>
          <w:rFonts w:ascii="Udlap Text Light" w:hAnsi="Udlap Text Light" w:cs="Times New Roman"/>
          <w:sz w:val="24"/>
          <w:szCs w:val="24"/>
        </w:rPr>
        <w:t>insight</w:t>
      </w:r>
      <w:proofErr w:type="spellEnd"/>
      <w:r w:rsidRPr="00166127">
        <w:rPr>
          <w:rFonts w:ascii="Udlap Text Light" w:hAnsi="Udlap Text Light" w:cs="Times New Roman"/>
          <w:sz w:val="24"/>
          <w:szCs w:val="24"/>
        </w:rPr>
        <w:t>, terapia cognitiva-conductual, entrenamiento en relajación, terapia de habilidades sociales y técnicas de manejo de enojo (</w:t>
      </w:r>
      <w:proofErr w:type="spellStart"/>
      <w:r w:rsidRPr="00166127">
        <w:rPr>
          <w:rFonts w:ascii="Udlap Text Light" w:hAnsi="Udlap Text Light" w:cs="Times New Roman"/>
          <w:sz w:val="24"/>
          <w:szCs w:val="24"/>
        </w:rPr>
        <w:t>Beatty</w:t>
      </w:r>
      <w:proofErr w:type="spellEnd"/>
      <w:r w:rsidRPr="00166127">
        <w:rPr>
          <w:rFonts w:ascii="Udlap Text Light" w:hAnsi="Udlap Text Light" w:cs="Times New Roman"/>
          <w:sz w:val="24"/>
          <w:szCs w:val="24"/>
        </w:rPr>
        <w:t xml:space="preserve">, 2004). Como señalan </w:t>
      </w:r>
      <w:proofErr w:type="spellStart"/>
      <w:r w:rsidRPr="00166127">
        <w:rPr>
          <w:rFonts w:ascii="Udlap Text Light" w:hAnsi="Udlap Text Light" w:cs="Times New Roman"/>
          <w:sz w:val="24"/>
          <w:szCs w:val="24"/>
        </w:rPr>
        <w:t>Hubbard</w:t>
      </w:r>
      <w:proofErr w:type="spellEnd"/>
      <w:r w:rsidRPr="00166127">
        <w:rPr>
          <w:rFonts w:ascii="Udlap Text Light" w:hAnsi="Udlap Text Light" w:cs="Times New Roman"/>
          <w:sz w:val="24"/>
          <w:szCs w:val="24"/>
        </w:rPr>
        <w:t xml:space="preserve"> et al. (2001). Los  resultados varían en forma considerable </w:t>
      </w:r>
      <w:r w:rsidR="008A7864" w:rsidRPr="00166127">
        <w:rPr>
          <w:rFonts w:ascii="Udlap Text Light" w:hAnsi="Udlap Text Light" w:cs="Times New Roman"/>
          <w:sz w:val="24"/>
          <w:szCs w:val="24"/>
        </w:rPr>
        <w:t>para los niños que sufren TCE, ya</w:t>
      </w:r>
      <w:r w:rsidR="002A6DFE" w:rsidRPr="00166127">
        <w:rPr>
          <w:rFonts w:ascii="Udlap Text Light" w:hAnsi="Udlap Text Light" w:cs="Times New Roman"/>
          <w:sz w:val="24"/>
          <w:szCs w:val="24"/>
        </w:rPr>
        <w:t xml:space="preserve"> que no existen dos casos que sea</w:t>
      </w:r>
      <w:r w:rsidR="008A7864" w:rsidRPr="00166127">
        <w:rPr>
          <w:rFonts w:ascii="Udlap Text Light" w:hAnsi="Udlap Text Light" w:cs="Times New Roman"/>
          <w:sz w:val="24"/>
          <w:szCs w:val="24"/>
        </w:rPr>
        <w:t>n iguales.</w:t>
      </w:r>
    </w:p>
    <w:p w:rsidR="00C11124" w:rsidRPr="00166127" w:rsidRDefault="00C11124" w:rsidP="00CA1062">
      <w:pPr>
        <w:jc w:val="both"/>
        <w:rPr>
          <w:rFonts w:ascii="Udlap Text Light" w:hAnsi="Udlap Text Light" w:cs="Times New Roman"/>
          <w:b/>
          <w:sz w:val="24"/>
          <w:szCs w:val="24"/>
        </w:rPr>
      </w:pPr>
    </w:p>
    <w:p w:rsidR="00C11124" w:rsidRPr="00166127" w:rsidRDefault="00C11124" w:rsidP="00CA1062">
      <w:pPr>
        <w:jc w:val="both"/>
        <w:rPr>
          <w:rFonts w:ascii="Udlap Text Light" w:hAnsi="Udlap Text Light" w:cs="Times New Roman"/>
          <w:b/>
          <w:sz w:val="24"/>
          <w:szCs w:val="24"/>
        </w:rPr>
      </w:pPr>
    </w:p>
    <w:p w:rsidR="00C939BC" w:rsidRPr="00166127" w:rsidRDefault="00C939BC">
      <w:pPr>
        <w:rPr>
          <w:rFonts w:ascii="Udlap Text Light" w:hAnsi="Udlap Text Light" w:cs="Times New Roman"/>
          <w:b/>
          <w:sz w:val="24"/>
          <w:szCs w:val="24"/>
        </w:rPr>
      </w:pPr>
      <w:r w:rsidRPr="00166127">
        <w:rPr>
          <w:rFonts w:ascii="Udlap Text Light" w:hAnsi="Udlap Text Light" w:cs="Times New Roman"/>
          <w:b/>
          <w:sz w:val="24"/>
          <w:szCs w:val="24"/>
        </w:rPr>
        <w:br w:type="page"/>
      </w:r>
    </w:p>
    <w:p w:rsidR="00CA1062" w:rsidRPr="00166127" w:rsidRDefault="00CA1062" w:rsidP="00C939BC">
      <w:pPr>
        <w:jc w:val="center"/>
        <w:rPr>
          <w:rFonts w:ascii="Udlap Text Light" w:hAnsi="Udlap Text Light" w:cs="Times New Roman"/>
          <w:b/>
          <w:sz w:val="24"/>
          <w:szCs w:val="24"/>
        </w:rPr>
      </w:pPr>
      <w:r w:rsidRPr="00166127">
        <w:rPr>
          <w:rFonts w:ascii="Udlap Text Light" w:hAnsi="Udlap Text Light" w:cs="Times New Roman"/>
          <w:b/>
          <w:sz w:val="24"/>
          <w:szCs w:val="24"/>
        </w:rPr>
        <w:lastRenderedPageBreak/>
        <w:t>Lista de referencia</w:t>
      </w:r>
      <w:r w:rsidR="00C11124" w:rsidRPr="00166127">
        <w:rPr>
          <w:rFonts w:ascii="Udlap Text Light" w:hAnsi="Udlap Text Light" w:cs="Times New Roman"/>
          <w:b/>
          <w:sz w:val="24"/>
          <w:szCs w:val="24"/>
        </w:rPr>
        <w:t>s</w:t>
      </w:r>
    </w:p>
    <w:p w:rsidR="00555C62" w:rsidRPr="00166127" w:rsidRDefault="00555C62" w:rsidP="00CA1062">
      <w:pPr>
        <w:jc w:val="both"/>
        <w:rPr>
          <w:rFonts w:ascii="Udlap Text Light" w:hAnsi="Udlap Text Light" w:cs="Times New Roman"/>
          <w:b/>
          <w:sz w:val="24"/>
          <w:szCs w:val="24"/>
        </w:rPr>
      </w:pPr>
      <w:r w:rsidRPr="00166127">
        <w:rPr>
          <w:rFonts w:ascii="Udlap Text Light" w:hAnsi="Udlap Text Light" w:cs="Times New Roman"/>
          <w:b/>
          <w:sz w:val="24"/>
          <w:szCs w:val="24"/>
        </w:rPr>
        <w:t>Realiza los cambios necesarios en la si</w:t>
      </w:r>
      <w:r w:rsidR="00CA1062" w:rsidRPr="00166127">
        <w:rPr>
          <w:rFonts w:ascii="Udlap Text Light" w:hAnsi="Udlap Text Light" w:cs="Times New Roman"/>
          <w:b/>
          <w:sz w:val="24"/>
          <w:szCs w:val="24"/>
        </w:rPr>
        <w:t>guiente bibliografía:</w:t>
      </w:r>
    </w:p>
    <w:p w:rsidR="00555C62" w:rsidRPr="00166127" w:rsidRDefault="00555C62" w:rsidP="00AD2D7A">
      <w:pPr>
        <w:ind w:firstLine="708"/>
        <w:jc w:val="both"/>
        <w:rPr>
          <w:rFonts w:ascii="Udlap Text Light" w:hAnsi="Udlap Text Light" w:cs="Times New Roman"/>
          <w:sz w:val="24"/>
          <w:szCs w:val="24"/>
          <w:lang w:val="en-US"/>
        </w:rPr>
      </w:pPr>
      <w:proofErr w:type="spellStart"/>
      <w:r w:rsidRPr="00166127">
        <w:rPr>
          <w:rFonts w:ascii="Udlap Text Light" w:hAnsi="Udlap Text Light" w:cs="Times New Roman"/>
          <w:sz w:val="24"/>
          <w:szCs w:val="24"/>
        </w:rPr>
        <w:t>DeLeon</w:t>
      </w:r>
      <w:proofErr w:type="spellEnd"/>
      <w:r w:rsidRPr="00166127">
        <w:rPr>
          <w:rFonts w:ascii="Udlap Text Light" w:hAnsi="Udlap Text Light" w:cs="Times New Roman"/>
          <w:sz w:val="24"/>
          <w:szCs w:val="24"/>
        </w:rPr>
        <w:t xml:space="preserve">, P.H., </w:t>
      </w:r>
      <w:proofErr w:type="spellStart"/>
      <w:r w:rsidRPr="00166127">
        <w:rPr>
          <w:rFonts w:ascii="Udlap Text Light" w:hAnsi="Udlap Text Light" w:cs="Times New Roman"/>
          <w:sz w:val="24"/>
          <w:szCs w:val="24"/>
        </w:rPr>
        <w:t>Hagglund</w:t>
      </w:r>
      <w:proofErr w:type="spellEnd"/>
      <w:r w:rsidRPr="00166127">
        <w:rPr>
          <w:rFonts w:ascii="Udlap Text Light" w:hAnsi="Udlap Text Light" w:cs="Times New Roman"/>
          <w:sz w:val="24"/>
          <w:szCs w:val="24"/>
        </w:rPr>
        <w:t xml:space="preserve">, K.J., Ragusea, S.A., &amp; M.T. (2003). </w:t>
      </w:r>
      <w:r w:rsidRPr="00166127">
        <w:rPr>
          <w:rFonts w:ascii="Udlap Text Light" w:hAnsi="Udlap Text Light" w:cs="Times New Roman"/>
          <w:sz w:val="24"/>
          <w:szCs w:val="24"/>
          <w:lang w:val="en-US"/>
        </w:rPr>
        <w:t xml:space="preserve">Expanding roles for psychologists: The 21 </w:t>
      </w:r>
      <w:proofErr w:type="spellStart"/>
      <w:r w:rsidRPr="00166127">
        <w:rPr>
          <w:rFonts w:ascii="Udlap Text Light" w:hAnsi="Udlap Text Light" w:cs="Times New Roman"/>
          <w:sz w:val="24"/>
          <w:szCs w:val="24"/>
          <w:lang w:val="en-US"/>
        </w:rPr>
        <w:t>st</w:t>
      </w:r>
      <w:proofErr w:type="spellEnd"/>
      <w:r w:rsidRPr="00166127">
        <w:rPr>
          <w:rFonts w:ascii="Udlap Text Light" w:hAnsi="Udlap Text Light" w:cs="Times New Roman"/>
          <w:sz w:val="24"/>
          <w:szCs w:val="24"/>
          <w:lang w:val="en-US"/>
        </w:rPr>
        <w:t xml:space="preserve"> century. En </w:t>
      </w:r>
      <w:proofErr w:type="spellStart"/>
      <w:r w:rsidRPr="00166127">
        <w:rPr>
          <w:rFonts w:ascii="Udlap Text Light" w:hAnsi="Udlap Text Light" w:cs="Times New Roman"/>
          <w:sz w:val="24"/>
          <w:szCs w:val="24"/>
          <w:lang w:val="en-US"/>
        </w:rPr>
        <w:t>G.Strieker</w:t>
      </w:r>
      <w:proofErr w:type="spellEnd"/>
      <w:r w:rsidRPr="00166127">
        <w:rPr>
          <w:rFonts w:ascii="Udlap Text Light" w:hAnsi="Udlap Text Light" w:cs="Times New Roman"/>
          <w:sz w:val="24"/>
          <w:szCs w:val="24"/>
          <w:lang w:val="en-US"/>
        </w:rPr>
        <w:t xml:space="preserve"> &amp; T.A. </w:t>
      </w:r>
      <w:proofErr w:type="spellStart"/>
      <w:r w:rsidRPr="00166127">
        <w:rPr>
          <w:rFonts w:ascii="Udlap Text Light" w:hAnsi="Udlap Text Light" w:cs="Times New Roman"/>
          <w:sz w:val="24"/>
          <w:szCs w:val="24"/>
          <w:lang w:val="en-US"/>
        </w:rPr>
        <w:t>Widiger</w:t>
      </w:r>
      <w:proofErr w:type="spellEnd"/>
      <w:r w:rsidRPr="00166127">
        <w:rPr>
          <w:rFonts w:ascii="Udlap Text Light" w:hAnsi="Udlap Text Light" w:cs="Times New Roman"/>
          <w:sz w:val="24"/>
          <w:szCs w:val="24"/>
          <w:lang w:val="en-US"/>
        </w:rPr>
        <w:t xml:space="preserve"> (eds.), </w:t>
      </w:r>
      <w:r w:rsidRPr="00166127">
        <w:rPr>
          <w:rFonts w:ascii="Udlap Text Light" w:hAnsi="Udlap Text Light" w:cs="Times New Roman"/>
          <w:i/>
          <w:sz w:val="24"/>
          <w:szCs w:val="24"/>
          <w:lang w:val="en-US"/>
        </w:rPr>
        <w:t>Clinical psychology</w:t>
      </w:r>
      <w:r w:rsidRPr="00166127">
        <w:rPr>
          <w:rFonts w:ascii="Udlap Text Light" w:hAnsi="Udlap Text Light" w:cs="Times New Roman"/>
          <w:sz w:val="24"/>
          <w:szCs w:val="24"/>
          <w:lang w:val="en-US"/>
        </w:rPr>
        <w:t xml:space="preserve"> (Vol. 8, pp.551-568). Nueva York, NY, EUA: Wiley.</w:t>
      </w:r>
    </w:p>
    <w:p w:rsidR="00555C62" w:rsidRPr="00166127" w:rsidRDefault="00555C62" w:rsidP="00AD2D7A">
      <w:pPr>
        <w:ind w:firstLine="708"/>
        <w:jc w:val="both"/>
        <w:rPr>
          <w:rFonts w:ascii="Udlap Text Light" w:hAnsi="Udlap Text Light" w:cs="Times New Roman"/>
          <w:sz w:val="24"/>
          <w:szCs w:val="24"/>
          <w:lang w:val="en-US"/>
        </w:rPr>
      </w:pPr>
      <w:proofErr w:type="spellStart"/>
      <w:r w:rsidRPr="00166127">
        <w:rPr>
          <w:rFonts w:ascii="Udlap Text Light" w:hAnsi="Udlap Text Light" w:cs="Times New Roman"/>
          <w:sz w:val="24"/>
          <w:szCs w:val="24"/>
          <w:lang w:val="en-US"/>
        </w:rPr>
        <w:t>DeLeon</w:t>
      </w:r>
      <w:proofErr w:type="spellEnd"/>
      <w:r w:rsidRPr="00166127">
        <w:rPr>
          <w:rFonts w:ascii="Udlap Text Light" w:hAnsi="Udlap Text Light" w:cs="Times New Roman"/>
          <w:sz w:val="24"/>
          <w:szCs w:val="24"/>
          <w:lang w:val="en-US"/>
        </w:rPr>
        <w:t xml:space="preserve">, P.H., </w:t>
      </w:r>
      <w:proofErr w:type="spellStart"/>
      <w:r w:rsidRPr="00166127">
        <w:rPr>
          <w:rFonts w:ascii="Udlap Text Light" w:hAnsi="Udlap Text Light" w:cs="Times New Roman"/>
          <w:sz w:val="24"/>
          <w:szCs w:val="24"/>
          <w:lang w:val="en-US"/>
        </w:rPr>
        <w:t>Rossomando</w:t>
      </w:r>
      <w:proofErr w:type="spellEnd"/>
      <w:r w:rsidRPr="00166127">
        <w:rPr>
          <w:rFonts w:ascii="Udlap Text Light" w:hAnsi="Udlap Text Light" w:cs="Times New Roman"/>
          <w:sz w:val="24"/>
          <w:szCs w:val="24"/>
          <w:lang w:val="en-US"/>
        </w:rPr>
        <w:t xml:space="preserve">, N.P., &amp; </w:t>
      </w:r>
      <w:proofErr w:type="spellStart"/>
      <w:r w:rsidRPr="00166127">
        <w:rPr>
          <w:rFonts w:ascii="Udlap Text Light" w:hAnsi="Udlap Text Light" w:cs="Times New Roman"/>
          <w:sz w:val="24"/>
          <w:szCs w:val="24"/>
          <w:lang w:val="en-US"/>
        </w:rPr>
        <w:t>Smedley</w:t>
      </w:r>
      <w:proofErr w:type="spellEnd"/>
      <w:r w:rsidRPr="00166127">
        <w:rPr>
          <w:rFonts w:ascii="Udlap Text Light" w:hAnsi="Udlap Text Light" w:cs="Times New Roman"/>
          <w:sz w:val="24"/>
          <w:szCs w:val="24"/>
          <w:lang w:val="en-US"/>
        </w:rPr>
        <w:t xml:space="preserve">, B.D. (2004). The future is primary care. En R.G. Frank, S.H. McDaniel, J.H. Bray, &amp; M. </w:t>
      </w:r>
      <w:proofErr w:type="spellStart"/>
      <w:r w:rsidRPr="00166127">
        <w:rPr>
          <w:rFonts w:ascii="Udlap Text Light" w:hAnsi="Udlap Text Light" w:cs="Times New Roman"/>
          <w:sz w:val="24"/>
          <w:szCs w:val="24"/>
          <w:lang w:val="en-US"/>
        </w:rPr>
        <w:t>Heldring</w:t>
      </w:r>
      <w:proofErr w:type="spellEnd"/>
      <w:r w:rsidRPr="00166127">
        <w:rPr>
          <w:rFonts w:ascii="Udlap Text Light" w:hAnsi="Udlap Text Light" w:cs="Times New Roman"/>
          <w:sz w:val="24"/>
          <w:szCs w:val="24"/>
          <w:lang w:val="en-US"/>
        </w:rPr>
        <w:t xml:space="preserve"> (eds.) </w:t>
      </w:r>
      <w:r w:rsidRPr="00166127">
        <w:rPr>
          <w:rFonts w:ascii="Udlap Text Light" w:hAnsi="Udlap Text Light" w:cs="Times New Roman"/>
          <w:i/>
          <w:sz w:val="24"/>
          <w:szCs w:val="24"/>
          <w:lang w:val="en-US"/>
        </w:rPr>
        <w:t xml:space="preserve">Primary care </w:t>
      </w:r>
      <w:proofErr w:type="spellStart"/>
      <w:r w:rsidRPr="00166127">
        <w:rPr>
          <w:rFonts w:ascii="Udlap Text Light" w:hAnsi="Udlap Text Light" w:cs="Times New Roman"/>
          <w:i/>
          <w:sz w:val="24"/>
          <w:szCs w:val="24"/>
          <w:lang w:val="en-US"/>
        </w:rPr>
        <w:t>psycology</w:t>
      </w:r>
      <w:proofErr w:type="spellEnd"/>
      <w:r w:rsidRPr="00166127">
        <w:rPr>
          <w:rFonts w:ascii="Udlap Text Light" w:hAnsi="Udlap Text Light" w:cs="Times New Roman"/>
          <w:sz w:val="24"/>
          <w:szCs w:val="24"/>
          <w:lang w:val="en-US"/>
        </w:rPr>
        <w:t xml:space="preserve"> (pp. 317-.325). Washington, DC, EUA: American Psychological Association</w:t>
      </w:r>
    </w:p>
    <w:p w:rsidR="00555C62" w:rsidRPr="00166127" w:rsidRDefault="00555C62" w:rsidP="00AD2D7A">
      <w:pPr>
        <w:ind w:firstLine="708"/>
        <w:jc w:val="both"/>
        <w:rPr>
          <w:rFonts w:ascii="Udlap Text Light" w:hAnsi="Udlap Text Light" w:cs="Times New Roman"/>
          <w:sz w:val="24"/>
          <w:szCs w:val="24"/>
          <w:lang w:val="en-US"/>
        </w:rPr>
      </w:pPr>
      <w:proofErr w:type="spellStart"/>
      <w:proofErr w:type="gramStart"/>
      <w:r w:rsidRPr="00166127">
        <w:rPr>
          <w:rFonts w:ascii="Udlap Text Light" w:hAnsi="Udlap Text Light" w:cs="Times New Roman"/>
          <w:sz w:val="24"/>
          <w:szCs w:val="24"/>
          <w:lang w:val="en-US"/>
        </w:rPr>
        <w:t>doi</w:t>
      </w:r>
      <w:proofErr w:type="spellEnd"/>
      <w:proofErr w:type="gramEnd"/>
      <w:r w:rsidRPr="00166127">
        <w:rPr>
          <w:rFonts w:ascii="Udlap Text Light" w:hAnsi="Udlap Text Light" w:cs="Times New Roman"/>
          <w:sz w:val="24"/>
          <w:szCs w:val="24"/>
          <w:lang w:val="en-US"/>
        </w:rPr>
        <w:t>: 1037/10651-017</w:t>
      </w:r>
    </w:p>
    <w:p w:rsidR="00555C62" w:rsidRPr="00166127" w:rsidRDefault="00555C62" w:rsidP="00AD2D7A">
      <w:pPr>
        <w:ind w:firstLine="708"/>
        <w:jc w:val="both"/>
        <w:rPr>
          <w:rFonts w:ascii="Udlap Text Light" w:hAnsi="Udlap Text Light" w:cs="Times New Roman"/>
          <w:sz w:val="24"/>
          <w:szCs w:val="24"/>
          <w:lang w:val="en-US"/>
        </w:rPr>
      </w:pPr>
      <w:r w:rsidRPr="00166127">
        <w:rPr>
          <w:rFonts w:ascii="Udlap Text Light" w:hAnsi="Udlap Text Light" w:cs="Times New Roman"/>
          <w:sz w:val="24"/>
          <w:szCs w:val="24"/>
          <w:lang w:val="en-US"/>
        </w:rPr>
        <w:t xml:space="preserve">Institute of Medicine. (1999). Errors in healthcare. En </w:t>
      </w:r>
      <w:r w:rsidR="00AD2D7A" w:rsidRPr="00166127">
        <w:rPr>
          <w:rFonts w:ascii="Udlap Text Light" w:hAnsi="Udlap Text Light" w:cs="Times New Roman"/>
          <w:sz w:val="24"/>
          <w:szCs w:val="24"/>
          <w:lang w:val="en-US"/>
        </w:rPr>
        <w:t xml:space="preserve">L. T. Kohn, J.M. Corrigan, &amp; M.S. Donaldson (eds.), </w:t>
      </w:r>
      <w:proofErr w:type="gramStart"/>
      <w:r w:rsidR="00AD2D7A" w:rsidRPr="00166127">
        <w:rPr>
          <w:rFonts w:ascii="Udlap Text Light" w:hAnsi="Udlap Text Light" w:cs="Times New Roman"/>
          <w:i/>
          <w:sz w:val="24"/>
          <w:szCs w:val="24"/>
          <w:lang w:val="en-US"/>
        </w:rPr>
        <w:t>To</w:t>
      </w:r>
      <w:proofErr w:type="gramEnd"/>
      <w:r w:rsidR="00AD2D7A" w:rsidRPr="00166127">
        <w:rPr>
          <w:rFonts w:ascii="Udlap Text Light" w:hAnsi="Udlap Text Light" w:cs="Times New Roman"/>
          <w:i/>
          <w:sz w:val="24"/>
          <w:szCs w:val="24"/>
          <w:lang w:val="en-US"/>
        </w:rPr>
        <w:t xml:space="preserve"> err is human: Building a safer health system</w:t>
      </w:r>
      <w:r w:rsidR="00AD2D7A" w:rsidRPr="00166127">
        <w:rPr>
          <w:rFonts w:ascii="Udlap Text Light" w:hAnsi="Udlap Text Light" w:cs="Times New Roman"/>
          <w:sz w:val="24"/>
          <w:szCs w:val="24"/>
          <w:lang w:val="en-US"/>
        </w:rPr>
        <w:t xml:space="preserve"> (pp.26-48). Washington. DC, EUA: National Academies Press. </w:t>
      </w:r>
    </w:p>
    <w:p w:rsidR="00AD2D7A" w:rsidRPr="00166127" w:rsidRDefault="00AD2D7A" w:rsidP="00AD2D7A">
      <w:pPr>
        <w:ind w:firstLine="708"/>
        <w:jc w:val="both"/>
        <w:rPr>
          <w:rFonts w:ascii="Udlap Text Light" w:hAnsi="Udlap Text Light" w:cs="Times New Roman"/>
          <w:sz w:val="24"/>
          <w:szCs w:val="24"/>
          <w:lang w:val="en-US"/>
        </w:rPr>
      </w:pPr>
      <w:r w:rsidRPr="00166127">
        <w:rPr>
          <w:rFonts w:ascii="Udlap Text Light" w:hAnsi="Udlap Text Light" w:cs="Times New Roman"/>
          <w:sz w:val="24"/>
          <w:szCs w:val="24"/>
          <w:lang w:val="en-US"/>
        </w:rPr>
        <w:t xml:space="preserve">U.S. Department of Health and Human Service (2000). </w:t>
      </w:r>
      <w:r w:rsidRPr="00166127">
        <w:rPr>
          <w:rFonts w:ascii="Udlap Text Light" w:hAnsi="Udlap Text Light" w:cs="Times New Roman"/>
          <w:i/>
          <w:sz w:val="24"/>
          <w:szCs w:val="24"/>
          <w:lang w:val="en-US"/>
        </w:rPr>
        <w:t xml:space="preserve">Healthy people 2010: Understanding and improving </w:t>
      </w:r>
      <w:proofErr w:type="spellStart"/>
      <w:r w:rsidRPr="00166127">
        <w:rPr>
          <w:rFonts w:ascii="Udlap Text Light" w:hAnsi="Udlap Text Light" w:cs="Times New Roman"/>
          <w:i/>
          <w:sz w:val="24"/>
          <w:szCs w:val="24"/>
          <w:lang w:val="en-US"/>
        </w:rPr>
        <w:t>health</w:t>
      </w:r>
      <w:r w:rsidRPr="00166127">
        <w:rPr>
          <w:rFonts w:ascii="Udlap Text Light" w:hAnsi="Udlap Text Light" w:cs="Times New Roman"/>
          <w:sz w:val="24"/>
          <w:szCs w:val="24"/>
          <w:lang w:val="en-US"/>
        </w:rPr>
        <w:t>.Washington</w:t>
      </w:r>
      <w:proofErr w:type="spellEnd"/>
      <w:r w:rsidRPr="00166127">
        <w:rPr>
          <w:rFonts w:ascii="Udlap Text Light" w:hAnsi="Udlap Text Light" w:cs="Times New Roman"/>
          <w:sz w:val="24"/>
          <w:szCs w:val="24"/>
          <w:lang w:val="en-US"/>
        </w:rPr>
        <w:t xml:space="preserve">, DC, EUA: Government Printing Office. </w:t>
      </w:r>
    </w:p>
    <w:p w:rsidR="00AD2D7A" w:rsidRPr="00166127" w:rsidRDefault="00AD2D7A" w:rsidP="008A7864">
      <w:pPr>
        <w:ind w:firstLine="708"/>
        <w:jc w:val="both"/>
        <w:rPr>
          <w:rFonts w:ascii="Udlap Text Light" w:hAnsi="Udlap Text Light" w:cs="Times New Roman"/>
          <w:sz w:val="24"/>
          <w:szCs w:val="24"/>
        </w:rPr>
      </w:pPr>
      <w:r w:rsidRPr="00166127">
        <w:rPr>
          <w:rFonts w:ascii="Udlap Text Light" w:hAnsi="Udlap Text Light" w:cs="Times New Roman"/>
          <w:sz w:val="24"/>
          <w:szCs w:val="24"/>
          <w:lang w:val="en-US"/>
        </w:rPr>
        <w:t xml:space="preserve">Green. J (2000, 1 de </w:t>
      </w:r>
      <w:proofErr w:type="spellStart"/>
      <w:r w:rsidRPr="00166127">
        <w:rPr>
          <w:rFonts w:ascii="Udlap Text Light" w:hAnsi="Udlap Text Light" w:cs="Times New Roman"/>
          <w:sz w:val="24"/>
          <w:szCs w:val="24"/>
          <w:lang w:val="en-US"/>
        </w:rPr>
        <w:t>enero</w:t>
      </w:r>
      <w:proofErr w:type="spellEnd"/>
      <w:r w:rsidRPr="00166127">
        <w:rPr>
          <w:rFonts w:ascii="Udlap Text Light" w:hAnsi="Udlap Text Light" w:cs="Times New Roman"/>
          <w:sz w:val="24"/>
          <w:szCs w:val="24"/>
          <w:lang w:val="en-US"/>
        </w:rPr>
        <w:t xml:space="preserve">). AMA backs limits on scope of </w:t>
      </w:r>
      <w:proofErr w:type="spellStart"/>
      <w:r w:rsidRPr="00166127">
        <w:rPr>
          <w:rFonts w:ascii="Udlap Text Light" w:hAnsi="Udlap Text Light" w:cs="Times New Roman"/>
          <w:sz w:val="24"/>
          <w:szCs w:val="24"/>
          <w:lang w:val="en-US"/>
        </w:rPr>
        <w:t>nonphysician</w:t>
      </w:r>
      <w:proofErr w:type="spellEnd"/>
      <w:r w:rsidRPr="00166127">
        <w:rPr>
          <w:rFonts w:ascii="Udlap Text Light" w:hAnsi="Udlap Text Light" w:cs="Times New Roman"/>
          <w:sz w:val="24"/>
          <w:szCs w:val="24"/>
          <w:lang w:val="en-US"/>
        </w:rPr>
        <w:t xml:space="preserve"> practice. </w:t>
      </w:r>
      <w:r w:rsidRPr="00166127">
        <w:rPr>
          <w:rFonts w:ascii="Udlap Text Light" w:hAnsi="Udlap Text Light" w:cs="Times New Roman"/>
          <w:i/>
          <w:sz w:val="24"/>
          <w:szCs w:val="24"/>
        </w:rPr>
        <w:t>American Medical News.</w:t>
      </w:r>
      <w:r w:rsidRPr="00166127">
        <w:rPr>
          <w:rFonts w:ascii="Udlap Text Light" w:hAnsi="Udlap Text Light" w:cs="Times New Roman"/>
          <w:sz w:val="24"/>
          <w:szCs w:val="24"/>
        </w:rPr>
        <w:t xml:space="preserve"> Recuperado de </w:t>
      </w:r>
      <w:hyperlink r:id="rId6" w:history="1">
        <w:r w:rsidRPr="00166127">
          <w:rPr>
            <w:rStyle w:val="Hyperlink"/>
            <w:rFonts w:ascii="Udlap Text Light" w:hAnsi="Udlap Text Light" w:cs="Times New Roman"/>
            <w:sz w:val="24"/>
            <w:szCs w:val="24"/>
          </w:rPr>
          <w:t>http://wwwarma.assn.org/amednews/2001/01/01/prsb0101.htm</w:t>
        </w:r>
      </w:hyperlink>
      <w:r w:rsidRPr="00166127">
        <w:rPr>
          <w:rFonts w:ascii="Udlap Text Light" w:hAnsi="Udlap Text Light" w:cs="Times New Roman"/>
          <w:sz w:val="24"/>
          <w:szCs w:val="24"/>
        </w:rPr>
        <w:t xml:space="preserve">. </w:t>
      </w:r>
    </w:p>
    <w:p w:rsidR="007F156A" w:rsidRPr="00166127" w:rsidRDefault="007F156A" w:rsidP="007F156A">
      <w:pPr>
        <w:jc w:val="both"/>
        <w:rPr>
          <w:rFonts w:ascii="Udlap Text Light" w:hAnsi="Udlap Text Light" w:cs="Times New Roman"/>
          <w:sz w:val="24"/>
          <w:szCs w:val="24"/>
        </w:rPr>
      </w:pPr>
      <w:r w:rsidRPr="00166127">
        <w:rPr>
          <w:rFonts w:ascii="Udlap Text Light" w:hAnsi="Udlap Text Light" w:cs="Times New Roman"/>
          <w:sz w:val="24"/>
          <w:szCs w:val="24"/>
        </w:rPr>
        <w:t xml:space="preserve">Viveros, S. (2010). Manual de Publicaciones de la American </w:t>
      </w:r>
      <w:proofErr w:type="spellStart"/>
      <w:r w:rsidRPr="00166127">
        <w:rPr>
          <w:rFonts w:ascii="Udlap Text Light" w:hAnsi="Udlap Text Light" w:cs="Times New Roman"/>
          <w:sz w:val="24"/>
          <w:szCs w:val="24"/>
        </w:rPr>
        <w:t>Psychological</w:t>
      </w:r>
      <w:proofErr w:type="spellEnd"/>
      <w:r w:rsidRPr="00166127">
        <w:rPr>
          <w:rFonts w:ascii="Udlap Text Light" w:hAnsi="Udlap Text Light" w:cs="Times New Roman"/>
          <w:sz w:val="24"/>
          <w:szCs w:val="24"/>
        </w:rPr>
        <w:t xml:space="preserve"> </w:t>
      </w:r>
      <w:proofErr w:type="spellStart"/>
      <w:r w:rsidRPr="00166127">
        <w:rPr>
          <w:rFonts w:ascii="Udlap Text Light" w:hAnsi="Udlap Text Light" w:cs="Times New Roman"/>
          <w:sz w:val="24"/>
          <w:szCs w:val="24"/>
        </w:rPr>
        <w:t>Association</w:t>
      </w:r>
      <w:proofErr w:type="spellEnd"/>
      <w:r w:rsidRPr="00166127">
        <w:rPr>
          <w:rFonts w:ascii="Udlap Text Light" w:hAnsi="Udlap Text Light" w:cs="Times New Roman"/>
          <w:sz w:val="24"/>
          <w:szCs w:val="24"/>
        </w:rPr>
        <w:t xml:space="preserve">. Guía de entrenamiento para el estudiante (pp.126-128). México: El Manual Moderno. </w:t>
      </w:r>
    </w:p>
    <w:p w:rsidR="008A7864" w:rsidRPr="00166127" w:rsidRDefault="008A7864" w:rsidP="008A7864">
      <w:pPr>
        <w:jc w:val="both"/>
        <w:rPr>
          <w:rFonts w:ascii="Udlap Text Light" w:hAnsi="Udlap Text Light" w:cs="Times New Roman"/>
          <w:sz w:val="24"/>
          <w:szCs w:val="24"/>
        </w:rPr>
      </w:pPr>
    </w:p>
    <w:sectPr w:rsidR="008A7864" w:rsidRPr="001661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5EF" w:rsidRDefault="000E55EF" w:rsidP="00392F77">
      <w:pPr>
        <w:spacing w:after="0" w:line="240" w:lineRule="auto"/>
      </w:pPr>
      <w:r>
        <w:separator/>
      </w:r>
    </w:p>
  </w:endnote>
  <w:endnote w:type="continuationSeparator" w:id="0">
    <w:p w:rsidR="000E55EF" w:rsidRDefault="000E55EF" w:rsidP="00392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dlap Text Light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F77" w:rsidRDefault="00392F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B18" w:rsidRDefault="00146B18">
    <w:pPr>
      <w:pStyle w:val="Footer"/>
    </w:pPr>
    <w:r w:rsidRPr="00146B18">
      <w:t xml:space="preserve">Derechos Reservados © 2015 Universidad de las Américas </w:t>
    </w:r>
    <w:r w:rsidRPr="00146B18">
      <w:t>Puebla.</w:t>
    </w:r>
    <w:bookmarkStart w:id="0" w:name="_GoBack"/>
    <w:bookmarkEnd w:id="0"/>
  </w:p>
  <w:p w:rsidR="00392F77" w:rsidRDefault="00392F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F77" w:rsidRDefault="00392F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5EF" w:rsidRDefault="000E55EF" w:rsidP="00392F77">
      <w:pPr>
        <w:spacing w:after="0" w:line="240" w:lineRule="auto"/>
      </w:pPr>
      <w:r>
        <w:separator/>
      </w:r>
    </w:p>
  </w:footnote>
  <w:footnote w:type="continuationSeparator" w:id="0">
    <w:p w:rsidR="000E55EF" w:rsidRDefault="000E55EF" w:rsidP="00392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F77" w:rsidRDefault="00392F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F77" w:rsidRDefault="00392F77">
    <w:pPr>
      <w:pStyle w:val="Header"/>
    </w:pPr>
    <w:r>
      <w:rPr>
        <w:noProof/>
        <w:lang w:eastAsia="es-MX"/>
      </w:rPr>
      <w:drawing>
        <wp:inline distT="0" distB="0" distL="0" distR="0" wp14:anchorId="2CB5AE3B">
          <wp:extent cx="1552575" cy="4572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F77" w:rsidRDefault="00392F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27D"/>
    <w:rsid w:val="00014C95"/>
    <w:rsid w:val="000E55EF"/>
    <w:rsid w:val="00146B18"/>
    <w:rsid w:val="00166127"/>
    <w:rsid w:val="001E52E8"/>
    <w:rsid w:val="002A6DFE"/>
    <w:rsid w:val="00392F77"/>
    <w:rsid w:val="004814B1"/>
    <w:rsid w:val="004F7503"/>
    <w:rsid w:val="00555C62"/>
    <w:rsid w:val="006E3EAE"/>
    <w:rsid w:val="006F227D"/>
    <w:rsid w:val="00783AB1"/>
    <w:rsid w:val="007F156A"/>
    <w:rsid w:val="008A7864"/>
    <w:rsid w:val="00A82FB7"/>
    <w:rsid w:val="00AD2D7A"/>
    <w:rsid w:val="00C11124"/>
    <w:rsid w:val="00C939BC"/>
    <w:rsid w:val="00CA1062"/>
    <w:rsid w:val="00E4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0D4FAE-6FA9-40D6-848F-AB1911A3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2D7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2F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F77"/>
  </w:style>
  <w:style w:type="paragraph" w:styleId="Footer">
    <w:name w:val="footer"/>
    <w:basedOn w:val="Normal"/>
    <w:link w:val="FooterChar"/>
    <w:uiPriority w:val="99"/>
    <w:unhideWhenUsed/>
    <w:rsid w:val="00392F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arma.assn.org/amednews/2001/01/01/prsb0101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530</Words>
  <Characters>2921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Martin Sanchez Camargo</cp:lastModifiedBy>
  <cp:revision>8</cp:revision>
  <dcterms:created xsi:type="dcterms:W3CDTF">2015-05-18T17:15:00Z</dcterms:created>
  <dcterms:modified xsi:type="dcterms:W3CDTF">2015-07-03T18:08:00Z</dcterms:modified>
</cp:coreProperties>
</file>